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r>
        <w:t>DLS,</w:t>
      </w:r>
    </w:p>
    <w:p>
      <w:r>
        <w:t>Dublin Legal Services,</w:t>
      </w:r>
    </w:p>
    <w:p>
      <w:r>
        <w:t>Law Searches and Law Agents,</w:t>
      </w:r>
    </w:p>
    <w:p>
      <w:r>
        <w:t>Unit 2,</w:t>
      </w:r>
    </w:p>
    <w:p>
      <w:r>
        <w:t>KCR Estate,</w:t>
      </w:r>
    </w:p>
    <w:p>
      <w:r>
        <w:t>Kimmage,</w:t>
      </w:r>
    </w:p>
    <w:p>
      <w:r>
        <w:t>Dublin 12.</w:t>
      </w:r>
    </w:p>
    <w:p>
      <w:r>
        <w:rPr>
          <w:b/>
          <w:bCs/>
        </w:rPr>
        <w:t>Fax: 492 3246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ab/>
        <w:t>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5E2E0-2FF6-48E0-BAC6-D1EF9EB3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92384</vt:lpwstr>
  </property>
  <property fmtid="{D5CDD505-2E9C-101B-9397-08002B2CF9AE}" pid="3" name="KeyhouseMatterReference">
    <vt:lpwstr>MIS009/0001</vt:lpwstr>
  </property>
</Properties>
</file>